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1550C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1550C0">
        <w:rPr>
          <w:rFonts w:ascii="Garamond" w:hAnsi="Garamond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2EF271BD" wp14:editId="260219E2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Pr="001550C0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1550C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1550C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311C0A" w:rsidRPr="001550C0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1550C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1550C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1550C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1550C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</w:r>
      <w:r w:rsidRPr="001550C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1550C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lang w:eastAsia="it-IT"/>
        </w:rPr>
        <w:tab/>
      </w:r>
      <w:r w:rsidRPr="001550C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1550C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1550C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1550C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1550C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1550C0" w:rsidRDefault="001550C0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  <w:r w:rsidRPr="001550C0">
        <w:rPr>
          <w:rFonts w:ascii="Garamond" w:hAnsi="Garamond" w:cs="Times New Roman"/>
          <w:b/>
          <w:bCs/>
        </w:rPr>
        <w:t xml:space="preserve">Procedura aperta in ambito comunitario, ai sensi dell’art. 60 D. </w:t>
      </w:r>
      <w:proofErr w:type="spellStart"/>
      <w:r w:rsidRPr="001550C0">
        <w:rPr>
          <w:rFonts w:ascii="Garamond" w:hAnsi="Garamond" w:cs="Times New Roman"/>
          <w:b/>
          <w:bCs/>
        </w:rPr>
        <w:t>Lgs</w:t>
      </w:r>
      <w:proofErr w:type="spellEnd"/>
      <w:r w:rsidRPr="001550C0">
        <w:rPr>
          <w:rFonts w:ascii="Garamond" w:hAnsi="Garamond" w:cs="Times New Roman"/>
          <w:b/>
          <w:bCs/>
        </w:rPr>
        <w:t xml:space="preserve">. n.50/2016 e </w:t>
      </w:r>
      <w:proofErr w:type="spellStart"/>
      <w:r w:rsidRPr="001550C0">
        <w:rPr>
          <w:rFonts w:ascii="Garamond" w:hAnsi="Garamond" w:cs="Times New Roman"/>
          <w:b/>
          <w:bCs/>
        </w:rPr>
        <w:t>ss.mm.ii</w:t>
      </w:r>
      <w:proofErr w:type="spellEnd"/>
      <w:r w:rsidRPr="001550C0">
        <w:rPr>
          <w:rFonts w:ascii="Garamond" w:hAnsi="Garamond" w:cs="Times New Roman"/>
          <w:b/>
          <w:bCs/>
        </w:rPr>
        <w:t xml:space="preserve">., per la fornitura biennale di sistemi riscaldanti per la prevenzione dell’ipotermia accidentale </w:t>
      </w:r>
      <w:proofErr w:type="spellStart"/>
      <w:r w:rsidRPr="001550C0">
        <w:rPr>
          <w:rFonts w:ascii="Garamond" w:hAnsi="Garamond" w:cs="Times New Roman"/>
          <w:b/>
          <w:bCs/>
        </w:rPr>
        <w:t>perioperatoria</w:t>
      </w:r>
      <w:proofErr w:type="spellEnd"/>
      <w:r w:rsidRPr="001550C0">
        <w:rPr>
          <w:rFonts w:ascii="Garamond" w:hAnsi="Garamond" w:cs="Times New Roman"/>
          <w:b/>
          <w:bCs/>
        </w:rPr>
        <w:t xml:space="preserve"> per le esigenze dell’Azienda Ospedaliera San Camillo </w:t>
      </w:r>
      <w:proofErr w:type="spellStart"/>
      <w:r w:rsidRPr="001550C0">
        <w:rPr>
          <w:rFonts w:ascii="Garamond" w:hAnsi="Garamond" w:cs="Times New Roman"/>
          <w:b/>
          <w:bCs/>
        </w:rPr>
        <w:t>Forlanini</w:t>
      </w:r>
      <w:proofErr w:type="spellEnd"/>
      <w:r w:rsidRPr="001550C0">
        <w:rPr>
          <w:rFonts w:ascii="Garamond" w:hAnsi="Garamond" w:cs="Times New Roman"/>
          <w:b/>
          <w:bCs/>
        </w:rPr>
        <w:t xml:space="preserve">, espletata tramite Sistema </w:t>
      </w:r>
      <w:proofErr w:type="spellStart"/>
      <w:r w:rsidRPr="001550C0">
        <w:rPr>
          <w:rFonts w:ascii="Garamond" w:hAnsi="Garamond" w:cs="Times New Roman"/>
          <w:b/>
          <w:bCs/>
        </w:rPr>
        <w:t>TELematico</w:t>
      </w:r>
      <w:proofErr w:type="spellEnd"/>
      <w:r w:rsidRPr="001550C0">
        <w:rPr>
          <w:rFonts w:ascii="Garamond" w:hAnsi="Garamond" w:cs="Times New Roman"/>
          <w:b/>
          <w:bCs/>
        </w:rPr>
        <w:t xml:space="preserve"> Acquisti Regione Lazio (STELLA), suddivisa in n. 4 Lotti.</w:t>
      </w:r>
    </w:p>
    <w:p w:rsidR="001550C0" w:rsidRDefault="001550C0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0E7335" w:rsidRPr="001550C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___________</w:t>
      </w:r>
      <w:r w:rsidR="000E7335" w:rsidRPr="001550C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1550C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1550C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1550C0">
        <w:rPr>
          <w:rFonts w:ascii="Garamond" w:eastAsia="Times New Roman" w:hAnsi="Garamond" w:cs="Times New Roman"/>
          <w:lang w:eastAsia="it-IT"/>
        </w:rPr>
        <w:t>PEC</w:t>
      </w:r>
      <w:r w:rsidRPr="001550C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1550C0">
        <w:rPr>
          <w:rFonts w:ascii="Garamond" w:eastAsia="Times New Roman" w:hAnsi="Garamond" w:cs="Times New Roman"/>
          <w:lang w:eastAsia="it-IT"/>
        </w:rPr>
        <w:t>__</w:t>
      </w:r>
      <w:r w:rsidRPr="001550C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1550C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Pr="001550C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1550C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1550C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Pr="001550C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1550C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1550C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Pr="001550C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1550C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1550C0">
        <w:rPr>
          <w:rFonts w:ascii="Garamond" w:eastAsia="Times New Roman" w:hAnsi="Garamond" w:cs="Times New Roman"/>
          <w:lang w:eastAsia="it-IT"/>
        </w:rPr>
        <w:t>GEIE.</w:t>
      </w:r>
    </w:p>
    <w:p w:rsidR="00BB2316" w:rsidRPr="001550C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1550C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1550C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1550C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1550C0">
        <w:rPr>
          <w:rFonts w:ascii="Garamond" w:eastAsia="Times New Roman" w:hAnsi="Garamond" w:cs="Times New Roman"/>
          <w:lang w:eastAsia="it-IT"/>
        </w:rPr>
        <w:t>te nel Disciplinare di gara e</w:t>
      </w:r>
      <w:r w:rsidRPr="001550C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1550C0">
        <w:rPr>
          <w:rFonts w:ascii="Garamond" w:eastAsia="Times New Roman" w:hAnsi="Garamond" w:cs="Times New Roman"/>
          <w:lang w:eastAsia="it-IT"/>
        </w:rPr>
        <w:t>240</w:t>
      </w:r>
      <w:r w:rsidRPr="001550C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1550C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1550C0">
        <w:rPr>
          <w:rFonts w:ascii="Garamond" w:eastAsia="Times New Roman" w:hAnsi="Garamond" w:cs="Times New Roman"/>
          <w:lang w:eastAsia="it-IT"/>
        </w:rPr>
        <w:t>la fornitura</w:t>
      </w:r>
      <w:r w:rsidR="00996D8F" w:rsidRPr="001550C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1550C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1550C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1550C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1550C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1550C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1550C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1550C0">
        <w:rPr>
          <w:rFonts w:ascii="Garamond" w:eastAsia="Times New Roman" w:hAnsi="Garamond" w:cs="Times New Roman"/>
          <w:lang w:eastAsia="it-IT"/>
        </w:rPr>
        <w:t>;</w:t>
      </w:r>
    </w:p>
    <w:p w:rsidR="00990E10" w:rsidRPr="001550C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1550C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Pr="001550C0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1550C0">
        <w:rPr>
          <w:rFonts w:ascii="Garamond" w:eastAsia="Times New Roman" w:hAnsi="Garamond" w:cs="Times New Roman"/>
          <w:b/>
          <w:lang w:eastAsia="it-IT"/>
        </w:rPr>
        <w:t>OFFRE</w:t>
      </w:r>
    </w:p>
    <w:p w:rsidR="00EB311A" w:rsidRPr="001550C0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EB311A" w:rsidRPr="001550C0" w:rsidRDefault="00EB311A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4"/>
        <w:gridCol w:w="1456"/>
        <w:gridCol w:w="4677"/>
      </w:tblGrid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1550C0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Denominazione commerciale del prodotto/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Codice articolo prodotto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1550C0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Quan</w:t>
            </w:r>
            <w:r w:rsidR="00EB311A"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 xml:space="preserve">tità complessive </w:t>
            </w:r>
            <w:r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(</w:t>
            </w:r>
            <w:r w:rsidR="00EB311A"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Q</w:t>
            </w:r>
            <w:r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1550C0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Prezzo unitario offerto IVA esclusa</w:t>
            </w:r>
            <w:r w:rsidR="001550C0"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 xml:space="preserve"> 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cifre</w:t>
            </w:r>
            <w:r w:rsidR="001550C0"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(</w:t>
            </w: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Pu</w:t>
            </w:r>
            <w:r w:rsid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lastRenderedPageBreak/>
              <w:t>Prezzo unitario offerto IVA esclusa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Prezzo complessivo offerto</w:t>
            </w:r>
            <w:r w:rsidRPr="001550C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IVA esclusa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cifre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</w:tcPr>
          <w:p w:rsidR="009E5E5D" w:rsidRPr="001550C0" w:rsidRDefault="009E5E5D" w:rsidP="001550C0">
            <w:pPr>
              <w:suppressAutoHyphens w:val="0"/>
              <w:spacing w:before="240" w:line="240" w:lineRule="auto"/>
              <w:ind w:right="262"/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1550C0"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  <w:t>esclusa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ind w:right="262"/>
              <w:rPr>
                <w:rFonts w:ascii="Garamond" w:eastAsia="MS ??" w:hAnsi="Garamond" w:cs="Times New Roman"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133" w:type="dxa"/>
            <w:gridSpan w:val="2"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1550C0" w:rsidRPr="001550C0" w:rsidTr="001550C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550C0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Valore complessivo offerto IVA esclusa</w:t>
            </w:r>
          </w:p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 xml:space="preserve"> (Sommatorio di Q x Pu)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EB311A" w:rsidRPr="001550C0" w:rsidRDefault="00EB311A" w:rsidP="001550C0">
            <w:pPr>
              <w:spacing w:before="24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B311A" w:rsidRPr="001550C0" w:rsidRDefault="00EB311A" w:rsidP="001550C0">
            <w:pPr>
              <w:spacing w:before="24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550C0"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  <w:t>In lettere</w:t>
            </w:r>
          </w:p>
        </w:tc>
      </w:tr>
      <w:tr w:rsidR="001550C0" w:rsidRPr="001550C0" w:rsidTr="001550C0">
        <w:tc>
          <w:tcPr>
            <w:tcW w:w="0" w:type="auto"/>
            <w:vMerge/>
          </w:tcPr>
          <w:p w:rsidR="00EB311A" w:rsidRPr="001550C0" w:rsidRDefault="00EB311A" w:rsidP="001550C0">
            <w:pPr>
              <w:suppressAutoHyphens w:val="0"/>
              <w:spacing w:before="240" w:line="240" w:lineRule="auto"/>
              <w:rPr>
                <w:rFonts w:ascii="Garamond" w:eastAsia="MS ??" w:hAnsi="Garamond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6" w:type="dxa"/>
          </w:tcPr>
          <w:p w:rsidR="00EB311A" w:rsidRPr="001550C0" w:rsidRDefault="00EB311A" w:rsidP="001550C0">
            <w:pPr>
              <w:spacing w:before="24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311A" w:rsidRPr="001550C0" w:rsidRDefault="00EB311A" w:rsidP="001550C0">
            <w:pPr>
              <w:spacing w:before="240" w:line="240" w:lineRule="auto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:rsidR="00EB311A" w:rsidRPr="001550C0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Pr="001550C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1550C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1550C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1550C0">
        <w:rPr>
          <w:rFonts w:ascii="Garamond" w:eastAsia="Times New Roman" w:hAnsi="Garamond" w:cs="Times New Roman"/>
          <w:lang w:eastAsia="it-IT"/>
        </w:rPr>
        <w:t>Data</w:t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A82251">
        <w:rPr>
          <w:rFonts w:ascii="Garamond" w:eastAsia="Times New Roman" w:hAnsi="Garamond" w:cs="Times New Roman"/>
          <w:lang w:eastAsia="it-IT"/>
        </w:rPr>
        <w:t xml:space="preserve">        </w:t>
      </w:r>
      <w:bookmarkStart w:id="0" w:name="_GoBack"/>
      <w:bookmarkEnd w:id="0"/>
      <w:r w:rsidR="00086620" w:rsidRPr="001550C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1550C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1550C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1550C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1550C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1550C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1550C0">
        <w:rPr>
          <w:rFonts w:ascii="Garamond" w:eastAsia="Times New Roman" w:hAnsi="Garamond" w:cs="Times New Roman"/>
          <w:lang w:eastAsia="it-IT"/>
        </w:rPr>
        <w:t xml:space="preserve">        </w:t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</w:r>
      <w:r w:rsidR="00C52D6D" w:rsidRPr="001550C0">
        <w:rPr>
          <w:rFonts w:ascii="Garamond" w:eastAsia="Times New Roman" w:hAnsi="Garamond" w:cs="Times New Roman"/>
          <w:lang w:eastAsia="it-IT"/>
        </w:rPr>
        <w:tab/>
        <w:t xml:space="preserve">      __________________________________</w:t>
      </w:r>
    </w:p>
    <w:p w:rsidR="00086620" w:rsidRPr="001550C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1550C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1550C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1550C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1550C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1550C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1550C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1550C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1550C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1550C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CE" w:rsidRDefault="00891BCE">
      <w:pPr>
        <w:spacing w:after="0" w:line="240" w:lineRule="auto"/>
      </w:pPr>
      <w:r>
        <w:separator/>
      </w:r>
    </w:p>
  </w:endnote>
  <w:endnote w:type="continuationSeparator" w:id="0">
    <w:p w:rsidR="00891BCE" w:rsidRDefault="0089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MS Gothic"/>
    <w:charset w:val="80"/>
    <w:family w:val="auto"/>
    <w:pitch w:val="variable"/>
  </w:font>
  <w:font w:name="Gill Sans">
    <w:altName w:val="Gill Sans MT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251">
          <w:rPr>
            <w:noProof/>
          </w:rPr>
          <w:t>3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CE" w:rsidRDefault="00891BCE">
      <w:pPr>
        <w:spacing w:after="0" w:line="240" w:lineRule="auto"/>
      </w:pPr>
      <w:r>
        <w:separator/>
      </w:r>
    </w:p>
  </w:footnote>
  <w:footnote w:type="continuationSeparator" w:id="0">
    <w:p w:rsidR="00891BCE" w:rsidRDefault="0089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550C0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1BCE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82251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A31C-D93C-4302-A680-D20AADE0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3</cp:revision>
  <cp:lastPrinted>2019-10-29T09:26:00Z</cp:lastPrinted>
  <dcterms:created xsi:type="dcterms:W3CDTF">2022-11-29T16:46:00Z</dcterms:created>
  <dcterms:modified xsi:type="dcterms:W3CDTF">2022-11-29T16:47:00Z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